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6"/>
        <w:rPr>
          <w:rFonts w:ascii="Calibri" w:hAnsi="Calibri" w:cs="Calibri"/>
          <w:b/>
          <w:b/>
          <w:bCs/>
          <w:sz w:val="26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Evoolution 2025: Italia e Albania unite per l</w:t>
      </w:r>
      <w:r>
        <w:rPr>
          <w:rFonts w:ascii="Calibri" w:hAnsi="Calibri"/>
          <w:b/>
          <w:bCs/>
          <w:sz w:val="28"/>
          <w:szCs w:val="28"/>
        </w:rPr>
        <w:t>’olio d’oliva di qualità</w:t>
      </w:r>
      <w:r>
        <w:rPr>
          <w:rFonts w:ascii="Calibri" w:hAnsi="Calibri"/>
        </w:rPr>
        <w:br/>
      </w:r>
      <w:r>
        <w:rPr>
          <w:rFonts w:ascii="Calibri" w:hAnsi="Calibri"/>
          <w:i/>
          <w:iCs/>
        </w:rPr>
        <w:t>Dalla fiera Macfrut una nuova alleanza per innovare la filiera olivicola tra ricerca, impresa e cooperazione internazionale</w:t>
      </w:r>
    </w:p>
    <w:p>
      <w:pPr>
        <w:pStyle w:val="Normal"/>
        <w:spacing w:lineRule="auto" w:line="256"/>
        <w:jc w:val="both"/>
        <w:rPr>
          <w:rFonts w:ascii="Calibri" w:hAnsi="Calibri" w:cs="Calibri"/>
          <w:b/>
          <w:b/>
          <w:bCs/>
          <w:sz w:val="26"/>
          <w:szCs w:val="28"/>
        </w:rPr>
      </w:pPr>
      <w:r>
        <w:rPr>
          <w:rFonts w:ascii="Calibri" w:hAnsi="Calibri"/>
          <w:b/>
          <w:bCs/>
        </w:rPr>
        <w:t>Rimini, 8 maggio 2025</w:t>
      </w:r>
      <w:r>
        <w:rPr>
          <w:rFonts w:ascii="Calibri" w:hAnsi="Calibri"/>
        </w:rPr>
        <w:t xml:space="preserve"> – Si è svolto a Macfrut “Evoolution 2025”, il workshop internazionale promosso da AICS Tirana, Tecnopolo di Forlì-Cesena, Cluster Agrifood Emilia-Romagna e Università di Bologna. Un evento aperto, volto a promuovere la collaborazione tra Italia e Albania per lo sviluppo di una filiera olivicola moderna, sostenibile e competitiva.</w:t>
      </w:r>
    </w:p>
    <w:p>
      <w:pPr>
        <w:pStyle w:val="Normal"/>
        <w:spacing w:lineRule="auto" w:line="256"/>
        <w:jc w:val="both"/>
        <w:rPr>
          <w:rFonts w:ascii="Calibri" w:hAnsi="Calibri" w:cs="Calibri"/>
          <w:b/>
          <w:b/>
          <w:bCs/>
          <w:sz w:val="26"/>
          <w:szCs w:val="28"/>
        </w:rPr>
      </w:pPr>
      <w:r>
        <w:rPr>
          <w:rFonts w:ascii="Calibri" w:hAnsi="Calibri"/>
        </w:rPr>
        <w:t xml:space="preserve">Dalla </w:t>
      </w:r>
      <w:r>
        <w:rPr>
          <w:rFonts w:ascii="Calibri" w:hAnsi="Calibri"/>
          <w:b/>
          <w:bCs/>
        </w:rPr>
        <w:t>valorizzazione delle cultivar autoctone albanesi</w:t>
      </w:r>
      <w:r>
        <w:rPr>
          <w:rFonts w:ascii="Calibri" w:hAnsi="Calibri"/>
        </w:rPr>
        <w:t xml:space="preserve">, come la </w:t>
      </w:r>
      <w:r>
        <w:rPr>
          <w:rFonts w:ascii="Calibri" w:hAnsi="Calibri"/>
          <w:i/>
          <w:iCs/>
        </w:rPr>
        <w:t>Kalinjot</w:t>
      </w:r>
      <w:r>
        <w:rPr>
          <w:rFonts w:ascii="Calibri" w:hAnsi="Calibri"/>
        </w:rPr>
        <w:t>, fino alla necessità di strumenti di trasparenza commerciale e contrattuale, l’incontro ha riunito accademici, istituzioni governative ed aziende agricole italiane ed albanesi per delineare strategie concrete di crescita condivisa.</w:t>
      </w:r>
    </w:p>
    <w:p>
      <w:pPr>
        <w:pStyle w:val="Normal"/>
        <w:spacing w:lineRule="auto" w:line="256"/>
        <w:jc w:val="both"/>
        <w:rPr>
          <w:rFonts w:ascii="Calibri" w:hAnsi="Calibri" w:cs="Calibri"/>
          <w:b/>
          <w:b/>
          <w:bCs/>
          <w:sz w:val="26"/>
          <w:szCs w:val="28"/>
        </w:rPr>
      </w:pPr>
      <w:r>
        <w:rPr>
          <w:rFonts w:ascii="Calibri" w:hAnsi="Calibri"/>
          <w:b/>
          <w:bCs/>
        </w:rPr>
        <w:t>Evoolution</w:t>
      </w:r>
      <w:r>
        <w:rPr>
          <w:rFonts w:ascii="Calibri" w:hAnsi="Calibri"/>
        </w:rPr>
        <w:t xml:space="preserve"> è un laboratorio di collaborazione agroalimentare dove ricerca scientifica, qualità sensoriale e innovazione tecnologica si incontrano per rafforzare le radici di una collaborazione produttiva tra due Paesi della macroregione adriatico-ionica.</w:t>
      </w:r>
    </w:p>
    <w:p>
      <w:pPr>
        <w:pStyle w:val="Normal"/>
        <w:spacing w:lineRule="auto" w:line="256"/>
        <w:jc w:val="both"/>
        <w:rPr>
          <w:rFonts w:ascii="Calibri" w:hAnsi="Calibri" w:cs="Calibri"/>
          <w:b/>
          <w:b/>
          <w:bCs/>
          <w:sz w:val="26"/>
          <w:szCs w:val="28"/>
        </w:rPr>
      </w:pPr>
      <w:r>
        <w:rPr>
          <w:rFonts w:ascii="Calibri" w:hAnsi="Calibri"/>
        </w:rPr>
        <w:t xml:space="preserve">Dal lato albanese, la prof.ssa </w:t>
      </w:r>
      <w:r>
        <w:rPr>
          <w:rFonts w:ascii="Calibri" w:hAnsi="Calibri"/>
          <w:b/>
          <w:bCs/>
        </w:rPr>
        <w:t>Anila Kopali</w:t>
      </w:r>
      <w:r>
        <w:rPr>
          <w:rFonts w:ascii="Calibri" w:hAnsi="Calibri"/>
        </w:rPr>
        <w:t xml:space="preserve"> (Università agraria di Tirana) ha presentato un quadro realistico e promettente: «</w:t>
      </w:r>
      <w:r>
        <w:rPr>
          <w:rFonts w:ascii="Calibri" w:hAnsi="Calibri"/>
          <w:i/>
          <w:iCs/>
        </w:rPr>
        <w:t>Abbiamo oltre 11 milioni di piante, 240 frantoi attivi e varietà uniche. Ma la nostra olivicoltura soffre ancora di alti costi di produzione, discontinuità qualitativa e frammentazione. L’Italia è un partner strategico per affrontare queste sfide</w:t>
      </w:r>
      <w:r>
        <w:rPr>
          <w:rFonts w:ascii="Calibri" w:hAnsi="Calibri"/>
        </w:rPr>
        <w:t>».</w:t>
      </w:r>
    </w:p>
    <w:p>
      <w:pPr>
        <w:pStyle w:val="Normal"/>
        <w:spacing w:lineRule="auto" w:line="256"/>
        <w:jc w:val="both"/>
        <w:rPr>
          <w:rFonts w:ascii="Calibri" w:hAnsi="Calibri" w:cs="Calibri"/>
          <w:b/>
          <w:b/>
          <w:bCs/>
          <w:sz w:val="26"/>
          <w:szCs w:val="28"/>
        </w:rPr>
      </w:pPr>
      <w:r>
        <w:rPr>
          <w:rFonts w:ascii="Calibri" w:hAnsi="Calibri"/>
        </w:rPr>
        <w:t xml:space="preserve">Secondo la dott.ssa </w:t>
      </w:r>
      <w:r>
        <w:rPr>
          <w:rFonts w:ascii="Calibri" w:hAnsi="Calibri"/>
          <w:b/>
          <w:bCs/>
        </w:rPr>
        <w:t>Barbara Paolucci</w:t>
      </w:r>
      <w:r>
        <w:rPr>
          <w:rFonts w:ascii="Calibri" w:hAnsi="Calibri"/>
        </w:rPr>
        <w:t xml:space="preserve"> (BMTI – Borsa Merci Telematica Italiana), «</w:t>
      </w:r>
      <w:r>
        <w:rPr>
          <w:rFonts w:ascii="Calibri" w:hAnsi="Calibri"/>
          <w:i/>
          <w:iCs/>
        </w:rPr>
        <w:t>costruire mercati trasparenti, basati su dati certi, tracciabilità e contratti scritti, è fondamentale per far crescere la fiducia e il valore nella filiera olivicola</w:t>
      </w:r>
      <w:r>
        <w:rPr>
          <w:rFonts w:ascii="Calibri" w:hAnsi="Calibri"/>
        </w:rPr>
        <w:t>». La BMTI ha evidenziato l’impatto della recente crescita delle esportazioni albanesi, che nel 2023 hanno superato le 6.000 tonnellate, ma con un  calo nei primi mesi del 2025.</w:t>
      </w:r>
    </w:p>
    <w:p>
      <w:pPr>
        <w:pStyle w:val="Normal"/>
        <w:spacing w:lineRule="auto" w:line="256"/>
        <w:jc w:val="both"/>
        <w:rPr>
          <w:rFonts w:ascii="Calibri" w:hAnsi="Calibri" w:cs="Calibri"/>
          <w:b/>
          <w:b/>
          <w:bCs/>
          <w:sz w:val="26"/>
          <w:szCs w:val="28"/>
        </w:rPr>
      </w:pPr>
      <w:r>
        <w:rPr>
          <w:rFonts w:ascii="Calibri" w:hAnsi="Calibri"/>
        </w:rPr>
        <w:t xml:space="preserve">Il rappresentante del Ministero dell’Agricoltura albanese, </w:t>
      </w:r>
      <w:r>
        <w:rPr>
          <w:rFonts w:ascii="Calibri" w:hAnsi="Calibri"/>
          <w:b/>
          <w:bCs/>
        </w:rPr>
        <w:t>Festim Shytaj</w:t>
      </w:r>
      <w:r>
        <w:rPr>
          <w:rFonts w:ascii="Calibri" w:hAnsi="Calibri"/>
        </w:rPr>
        <w:t xml:space="preserve">, ha sottolineato le </w:t>
      </w:r>
      <w:r>
        <w:rPr>
          <w:rFonts w:ascii="Calibri" w:hAnsi="Calibri"/>
          <w:b/>
          <w:bCs/>
        </w:rPr>
        <w:t>prospettive di crescita del settore</w:t>
      </w:r>
      <w:r>
        <w:rPr>
          <w:rFonts w:ascii="Calibri" w:hAnsi="Calibri"/>
        </w:rPr>
        <w:t xml:space="preserve"> grazie a investimenti in meccanizzazione, logistica, infrastrutture digitali ed e-market. «</w:t>
      </w:r>
      <w:r>
        <w:rPr>
          <w:rFonts w:ascii="Calibri" w:hAnsi="Calibri"/>
          <w:i/>
          <w:iCs/>
        </w:rPr>
        <w:t>L’Albania ha tutto il potenziale per fare il salto verso una crescita guidata dalla qualità e dalla certificazione, anche grazie a fondi IPARD e partnership con l’Italia</w:t>
      </w:r>
      <w:r>
        <w:rPr>
          <w:rFonts w:ascii="Calibri" w:hAnsi="Calibri"/>
        </w:rPr>
        <w:t>».</w:t>
      </w:r>
    </w:p>
    <w:p>
      <w:pPr>
        <w:pStyle w:val="Normal"/>
        <w:spacing w:lineRule="auto" w:line="256"/>
        <w:jc w:val="both"/>
        <w:rPr>
          <w:rFonts w:ascii="Calibri" w:hAnsi="Calibri" w:cs="Calibri"/>
          <w:b/>
          <w:b/>
          <w:bCs/>
          <w:sz w:val="26"/>
          <w:szCs w:val="28"/>
        </w:rPr>
      </w:pPr>
      <w:r>
        <w:rPr>
          <w:rFonts w:ascii="Calibri" w:hAnsi="Calibri"/>
        </w:rPr>
        <w:t xml:space="preserve">A chiudere il panel è stato </w:t>
      </w:r>
      <w:r>
        <w:rPr>
          <w:rFonts w:ascii="Calibri" w:hAnsi="Calibri"/>
          <w:b/>
          <w:bCs/>
        </w:rPr>
        <w:t>Franco Spada</w:t>
      </w:r>
      <w:r>
        <w:rPr>
          <w:rFonts w:ascii="Calibri" w:hAnsi="Calibri"/>
        </w:rPr>
        <w:t xml:space="preserve">, presidente onorario del </w:t>
      </w:r>
      <w:r>
        <w:rPr>
          <w:rFonts w:ascii="Calibri" w:hAnsi="Calibri"/>
          <w:b/>
          <w:bCs/>
        </w:rPr>
        <w:t>Consorzio Olio D.O.P. Brisighella</w:t>
      </w:r>
      <w:r>
        <w:rPr>
          <w:rFonts w:ascii="Calibri" w:hAnsi="Calibri"/>
        </w:rPr>
        <w:t xml:space="preserve">, che ha tracciato un affresco appassionato dei </w:t>
      </w:r>
      <w:r>
        <w:rPr>
          <w:rFonts w:ascii="Calibri" w:hAnsi="Calibri"/>
          <w:b/>
          <w:bCs/>
        </w:rPr>
        <w:t>cinquant’anni di storia del consorzio</w:t>
      </w:r>
      <w:r>
        <w:rPr>
          <w:rFonts w:ascii="Calibri" w:hAnsi="Calibri"/>
        </w:rPr>
        <w:t>, nato da un’intuizione pionieristica: unire piccoli produttori, cooperative agricole e amministrazioni locali attorno a un obiettivo comune, la valorizzazione della qualità. «</w:t>
      </w:r>
      <w:r>
        <w:rPr>
          <w:rFonts w:ascii="Calibri" w:hAnsi="Calibri"/>
          <w:i/>
          <w:iCs/>
        </w:rPr>
        <w:t xml:space="preserve">La nostra è stata una storia di </w:t>
      </w:r>
      <w:r>
        <w:rPr>
          <w:rFonts w:ascii="Calibri" w:hAnsi="Calibri"/>
          <w:b/>
          <w:bCs/>
          <w:i/>
          <w:iCs/>
        </w:rPr>
        <w:t>aggregazione vera</w:t>
      </w:r>
      <w:r>
        <w:rPr>
          <w:rFonts w:ascii="Calibri" w:hAnsi="Calibri"/>
          <w:i/>
          <w:iCs/>
        </w:rPr>
        <w:t>, costruita passo dopo passo, in un tempo in cui parlare di olio certificato sembrava un’utopia</w:t>
      </w:r>
      <w:r>
        <w:rPr>
          <w:rFonts w:ascii="Calibri" w:hAnsi="Calibri"/>
        </w:rPr>
        <w:t xml:space="preserve">», ha raccontato Spada. Oggi il consorzio rappresenta un </w:t>
      </w:r>
      <w:r>
        <w:rPr>
          <w:rFonts w:ascii="Calibri" w:hAnsi="Calibri"/>
          <w:b/>
          <w:bCs/>
        </w:rPr>
        <w:t>modello di presidio del territorio</w:t>
      </w:r>
      <w:r>
        <w:rPr>
          <w:rFonts w:ascii="Calibri" w:hAnsi="Calibri"/>
        </w:rPr>
        <w:t>, con standard di tracciabilità e identità territoriale che hanno fatto scuola, mostrando come l’unione tra produttori sia la chiave per resistere sul mercato e crescere in reputazione. «</w:t>
      </w:r>
      <w:r>
        <w:rPr>
          <w:rFonts w:ascii="Calibri" w:hAnsi="Calibri"/>
          <w:i/>
          <w:iCs/>
        </w:rPr>
        <w:t>Non c’è qualità senza coesione</w:t>
      </w:r>
      <w:r>
        <w:rPr>
          <w:rFonts w:ascii="Calibri" w:hAnsi="Calibri"/>
        </w:rPr>
        <w:t xml:space="preserve">», ha sottolineato, richiamando la necessità di </w:t>
      </w:r>
      <w:r>
        <w:rPr>
          <w:rFonts w:ascii="Calibri" w:hAnsi="Calibri"/>
          <w:b/>
          <w:bCs/>
        </w:rPr>
        <w:t>strategie collettive</w:t>
      </w:r>
      <w:r>
        <w:rPr>
          <w:rFonts w:ascii="Calibri" w:hAnsi="Calibri"/>
        </w:rPr>
        <w:t>, sia in Italia che nei Paesi partner come l’Albania.</w:t>
      </w:r>
    </w:p>
    <w:p>
      <w:pPr>
        <w:pStyle w:val="Normal"/>
        <w:spacing w:lineRule="auto" w:line="256"/>
        <w:jc w:val="both"/>
        <w:rPr>
          <w:rFonts w:ascii="Calibri" w:hAnsi="Calibri" w:cs="Calibri"/>
          <w:b/>
          <w:b/>
          <w:bCs/>
          <w:sz w:val="26"/>
          <w:szCs w:val="28"/>
        </w:rPr>
      </w:pPr>
      <w:r>
        <w:rPr>
          <w:rFonts w:ascii="Calibri" w:hAnsi="Calibri"/>
        </w:rPr>
        <w:t xml:space="preserve">Tra i temi emersi: la </w:t>
      </w:r>
      <w:r>
        <w:rPr>
          <w:rFonts w:ascii="Calibri" w:hAnsi="Calibri"/>
          <w:b/>
          <w:bCs/>
        </w:rPr>
        <w:t>necessità di frantoi innovativi come hub multiservizio</w:t>
      </w:r>
      <w:r>
        <w:rPr>
          <w:rFonts w:ascii="Calibri" w:hAnsi="Calibri"/>
        </w:rPr>
        <w:t xml:space="preserve">, il </w:t>
      </w:r>
      <w:r>
        <w:rPr>
          <w:rFonts w:ascii="Calibri" w:hAnsi="Calibri"/>
          <w:b/>
          <w:bCs/>
        </w:rPr>
        <w:t>rafforzamento della cooperazione tra produttori</w:t>
      </w:r>
      <w:r>
        <w:rPr>
          <w:rFonts w:ascii="Calibri" w:hAnsi="Calibri"/>
        </w:rPr>
        <w:t>, l’</w:t>
      </w:r>
      <w:r>
        <w:rPr>
          <w:rFonts w:ascii="Calibri" w:hAnsi="Calibri"/>
          <w:b/>
          <w:bCs/>
        </w:rPr>
        <w:t>educazione al gusto</w:t>
      </w:r>
      <w:r>
        <w:rPr>
          <w:rFonts w:ascii="Calibri" w:hAnsi="Calibri"/>
        </w:rPr>
        <w:t xml:space="preserve"> e la costruzione di </w:t>
      </w:r>
      <w:r>
        <w:rPr>
          <w:rFonts w:ascii="Calibri" w:hAnsi="Calibri"/>
          <w:b/>
          <w:bCs/>
        </w:rPr>
        <w:t>marchi territoriali</w:t>
      </w:r>
      <w:r>
        <w:rPr>
          <w:rFonts w:ascii="Calibri" w:hAnsi="Calibri"/>
        </w:rPr>
        <w:t xml:space="preserve"> capaci di raccontare la biodiversità olivicola dei Balcani. </w:t>
      </w:r>
    </w:p>
    <w:p>
      <w:pPr>
        <w:pStyle w:val="Normal"/>
        <w:spacing w:lineRule="auto" w:line="256" w:before="0" w:after="160"/>
        <w:jc w:val="both"/>
        <w:rPr>
          <w:rFonts w:ascii="Calibri" w:hAnsi="Calibri" w:cs="Calibri"/>
          <w:b/>
          <w:b/>
          <w:bCs/>
          <w:sz w:val="26"/>
          <w:szCs w:val="28"/>
        </w:rPr>
      </w:pPr>
      <w:r>
        <w:rPr>
          <w:rFonts w:ascii="Calibri" w:hAnsi="Calibri"/>
        </w:rPr>
        <w:t xml:space="preserve">Nel corso dell’evento è stato presentato anche un </w:t>
      </w:r>
      <w:r>
        <w:rPr>
          <w:rFonts w:ascii="Calibri" w:hAnsi="Calibri"/>
          <w:b/>
          <w:bCs/>
        </w:rPr>
        <w:t>panel di assaggio con oli italiani e albanesi</w:t>
      </w:r>
      <w:r>
        <w:rPr>
          <w:rFonts w:ascii="Calibri" w:hAnsi="Calibri"/>
        </w:rPr>
        <w:t>, guidato da esperti dell’Università di Bologna, per diffondere la cultura della qualità e preparare i futuri assaggiatori internazionali.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1417" w:footer="422" w:bottom="47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tbl>
    <w:tblPr>
      <w:tblStyle w:val="Grigliatabella"/>
      <w:tblW w:w="9638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957"/>
      <w:gridCol w:w="1468"/>
      <w:gridCol w:w="2841"/>
      <w:gridCol w:w="2371"/>
    </w:tblGrid>
    <w:tr>
      <w:trPr/>
      <w:tc>
        <w:tcPr>
          <w:tcW w:w="29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/>
            <w:spacing w:before="0" w:after="0"/>
            <w:jc w:val="left"/>
            <w:rPr>
              <w:rFonts w:ascii="Aptos" w:hAnsi="Aptos" w:eastAsia="Aptos" w:cs=""/>
              <w:kern w:val="2"/>
              <w:sz w:val="22"/>
              <w:szCs w:val="22"/>
              <w:lang w:val="it-IT" w:eastAsia="en-US" w:bidi="ar-SA"/>
            </w:rPr>
          </w:pPr>
          <w:r>
            <w:rPr>
              <w:rFonts w:eastAsia="Aptos" w:cs=""/>
              <w:kern w:val="2"/>
              <w:sz w:val="22"/>
              <w:szCs w:val="22"/>
              <w:lang w:val="it-IT" w:eastAsia="en-US" w:bidi="ar-SA"/>
            </w:rPr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-65405</wp:posOffset>
                </wp:positionH>
                <wp:positionV relativeFrom="paragraph">
                  <wp:posOffset>274320</wp:posOffset>
                </wp:positionV>
                <wp:extent cx="1743075" cy="447675"/>
                <wp:effectExtent l="0" t="0" r="0" b="0"/>
                <wp:wrapThrough wrapText="bothSides">
                  <wp:wrapPolygon edited="0">
                    <wp:start x="-3" y="0"/>
                    <wp:lineTo x="-3" y="21136"/>
                    <wp:lineTo x="21478" y="21136"/>
                    <wp:lineTo x="21478" y="0"/>
                    <wp:lineTo x="-3" y="0"/>
                  </wp:wrapPolygon>
                </wp:wrapThrough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68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/>
            <w:spacing w:before="0" w:after="0"/>
            <w:jc w:val="left"/>
            <w:rPr>
              <w:rFonts w:ascii="Aptos" w:hAnsi="Aptos" w:eastAsia="Aptos" w:cs=""/>
              <w:kern w:val="2"/>
              <w:sz w:val="22"/>
              <w:szCs w:val="22"/>
              <w:lang w:val="it-IT" w:eastAsia="en-US" w:bidi="ar-SA"/>
            </w:rPr>
          </w:pPr>
          <w:r>
            <w:rPr>
              <w:rFonts w:eastAsia="Aptos" w:cs=""/>
              <w:kern w:val="2"/>
              <w:sz w:val="22"/>
              <w:szCs w:val="22"/>
              <w:lang w:val="it-IT" w:eastAsia="en-US" w:bidi="ar-SA"/>
            </w:rPr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-12700</wp:posOffset>
                </wp:positionH>
                <wp:positionV relativeFrom="paragraph">
                  <wp:posOffset>213360</wp:posOffset>
                </wp:positionV>
                <wp:extent cx="800100" cy="610235"/>
                <wp:effectExtent l="0" t="0" r="0" b="0"/>
                <wp:wrapThrough wrapText="bothSides">
                  <wp:wrapPolygon edited="0">
                    <wp:start x="-3" y="0"/>
                    <wp:lineTo x="-3" y="20898"/>
                    <wp:lineTo x="21082" y="20898"/>
                    <wp:lineTo x="21082" y="0"/>
                    <wp:lineTo x="-3" y="0"/>
                  </wp:wrapPolygon>
                </wp:wrapThrough>
                <wp:docPr id="2" name="Image2" descr="Homepage - Clust-ER AgriFoo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Homepage - Clust-ER AgriFoo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10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4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/>
            <w:spacing w:before="0" w:after="0"/>
            <w:jc w:val="left"/>
            <w:rPr>
              <w:rFonts w:ascii="Aptos" w:hAnsi="Aptos" w:eastAsia="Aptos" w:cs=""/>
              <w:kern w:val="2"/>
              <w:sz w:val="22"/>
              <w:szCs w:val="22"/>
              <w:lang w:val="it-IT" w:eastAsia="en-US" w:bidi="ar-SA"/>
            </w:rPr>
          </w:pPr>
          <w:r>
            <w:rPr>
              <w:rFonts w:eastAsia="Aptos" w:cs=""/>
              <w:kern w:val="2"/>
              <w:sz w:val="22"/>
              <w:szCs w:val="22"/>
              <w:lang w:val="it-IT" w:eastAsia="en-US" w:bidi="ar-SA"/>
            </w:rPr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57785</wp:posOffset>
                </wp:positionH>
                <wp:positionV relativeFrom="paragraph">
                  <wp:posOffset>152400</wp:posOffset>
                </wp:positionV>
                <wp:extent cx="1677670" cy="600075"/>
                <wp:effectExtent l="0" t="0" r="0" b="0"/>
                <wp:wrapTight wrapText="bothSides">
                  <wp:wrapPolygon edited="0">
                    <wp:start x="3673" y="0"/>
                    <wp:lineTo x="2448" y="3415"/>
                    <wp:lineTo x="1958" y="6844"/>
                    <wp:lineTo x="2203" y="10962"/>
                    <wp:lineTo x="-7" y="17131"/>
                    <wp:lineTo x="-7" y="20561"/>
                    <wp:lineTo x="19626" y="20561"/>
                    <wp:lineTo x="21340" y="19196"/>
                    <wp:lineTo x="21340" y="12338"/>
                    <wp:lineTo x="8582" y="10962"/>
                    <wp:lineTo x="9072" y="8221"/>
                    <wp:lineTo x="8338" y="3415"/>
                    <wp:lineTo x="7112" y="0"/>
                    <wp:lineTo x="3673" y="0"/>
                  </wp:wrapPolygon>
                </wp:wrapTight>
                <wp:docPr id="3" name="Immagin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767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/>
            <w:spacing w:before="0" w:after="0"/>
            <w:jc w:val="left"/>
            <w:rPr>
              <w:rFonts w:ascii="Aptos" w:hAnsi="Aptos" w:eastAsia="Aptos" w:cs=""/>
              <w:kern w:val="2"/>
              <w:sz w:val="22"/>
              <w:szCs w:val="22"/>
              <w:lang w:val="it-IT" w:eastAsia="en-US" w:bidi="ar-SA"/>
            </w:rPr>
          </w:pPr>
          <w:r>
            <w:rPr>
              <w:rFonts w:eastAsia="Aptos" w:cs=""/>
              <w:kern w:val="2"/>
              <w:sz w:val="22"/>
              <w:szCs w:val="22"/>
              <w:lang w:val="it-IT" w:eastAsia="en-US" w:bidi="ar-SA"/>
            </w:rPr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-65405</wp:posOffset>
                </wp:positionH>
                <wp:positionV relativeFrom="paragraph">
                  <wp:posOffset>365760</wp:posOffset>
                </wp:positionV>
                <wp:extent cx="1377950" cy="299085"/>
                <wp:effectExtent l="0" t="0" r="0" b="0"/>
                <wp:wrapThrough wrapText="bothSides">
                  <wp:wrapPolygon edited="0">
                    <wp:start x="3255" y="0"/>
                    <wp:lineTo x="-32" y="2682"/>
                    <wp:lineTo x="-32" y="9568"/>
                    <wp:lineTo x="1149" y="20588"/>
                    <wp:lineTo x="2356" y="20588"/>
                    <wp:lineTo x="21162" y="20588"/>
                    <wp:lineTo x="21162" y="1304"/>
                    <wp:lineTo x="16384" y="0"/>
                    <wp:lineTo x="3255" y="0"/>
                  </wp:wrapPolygon>
                </wp:wrapThrough>
                <wp:docPr id="4" name="Picture 2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7356" t="32968" r="7395" b="408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299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0e1f43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0e1f43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Titolo3Carattere"/>
    <w:uiPriority w:val="9"/>
    <w:semiHidden/>
    <w:unhideWhenUsed/>
    <w:qFormat/>
    <w:rsid w:val="000e1f43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Titolo4Carattere"/>
    <w:uiPriority w:val="9"/>
    <w:semiHidden/>
    <w:unhideWhenUsed/>
    <w:qFormat/>
    <w:rsid w:val="000e1f43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Titolo5Carattere"/>
    <w:uiPriority w:val="9"/>
    <w:semiHidden/>
    <w:unhideWhenUsed/>
    <w:qFormat/>
    <w:rsid w:val="000e1f43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Titolo6Carattere"/>
    <w:uiPriority w:val="9"/>
    <w:semiHidden/>
    <w:unhideWhenUsed/>
    <w:qFormat/>
    <w:rsid w:val="000e1f43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Titolo7Carattere"/>
    <w:uiPriority w:val="9"/>
    <w:semiHidden/>
    <w:unhideWhenUsed/>
    <w:qFormat/>
    <w:rsid w:val="000e1f43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Titolo8Carattere"/>
    <w:uiPriority w:val="9"/>
    <w:semiHidden/>
    <w:unhideWhenUsed/>
    <w:qFormat/>
    <w:rsid w:val="000e1f43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Titolo9Carattere"/>
    <w:uiPriority w:val="9"/>
    <w:semiHidden/>
    <w:unhideWhenUsed/>
    <w:qFormat/>
    <w:rsid w:val="000e1f43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itolo1Carattere" w:customStyle="1">
    <w:name w:val="Titolo 1 Carattere"/>
    <w:basedOn w:val="DefaultParagraphFont"/>
    <w:link w:val="Heading1"/>
    <w:uiPriority w:val="9"/>
    <w:qFormat/>
    <w:rsid w:val="000e1f43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DefaultParagraphFont"/>
    <w:link w:val="Heading2"/>
    <w:uiPriority w:val="9"/>
    <w:semiHidden/>
    <w:qFormat/>
    <w:rsid w:val="000e1f43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DefaultParagraphFont"/>
    <w:link w:val="Heading3"/>
    <w:uiPriority w:val="9"/>
    <w:semiHidden/>
    <w:qFormat/>
    <w:rsid w:val="000e1f43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DefaultParagraphFont"/>
    <w:link w:val="Heading4"/>
    <w:uiPriority w:val="9"/>
    <w:semiHidden/>
    <w:qFormat/>
    <w:rsid w:val="000e1f43"/>
    <w:rPr>
      <w:rFonts w:eastAsia="" w:cs="" w:cstheme="majorBidi" w:eastAsiaTheme="majorEastAsia"/>
      <w:i/>
      <w:iCs/>
      <w:color w:val="0F4761" w:themeColor="accent1" w:themeShade="bf"/>
    </w:rPr>
  </w:style>
  <w:style w:type="character" w:styleId="Titolo5Carattere" w:customStyle="1">
    <w:name w:val="Titolo 5 Carattere"/>
    <w:basedOn w:val="DefaultParagraphFont"/>
    <w:link w:val="Heading5"/>
    <w:uiPriority w:val="9"/>
    <w:semiHidden/>
    <w:qFormat/>
    <w:rsid w:val="000e1f43"/>
    <w:rPr>
      <w:rFonts w:eastAsia="" w:cs="" w:cstheme="majorBidi" w:eastAsiaTheme="majorEastAsia"/>
      <w:color w:val="0F4761" w:themeColor="accent1" w:themeShade="bf"/>
    </w:rPr>
  </w:style>
  <w:style w:type="character" w:styleId="Titolo6Carattere" w:customStyle="1">
    <w:name w:val="Titolo 6 Carattere"/>
    <w:basedOn w:val="DefaultParagraphFont"/>
    <w:link w:val="Heading6"/>
    <w:uiPriority w:val="9"/>
    <w:semiHidden/>
    <w:qFormat/>
    <w:rsid w:val="000e1f43"/>
    <w:rPr>
      <w:rFonts w:eastAsia="" w:cs="" w:cstheme="majorBidi" w:eastAsiaTheme="majorEastAsia"/>
      <w:i/>
      <w:iCs/>
      <w:color w:val="595959" w:themeColor="text1" w:themeTint="a6"/>
    </w:rPr>
  </w:style>
  <w:style w:type="character" w:styleId="Titolo7Carattere" w:customStyle="1">
    <w:name w:val="Titolo 7 Carattere"/>
    <w:basedOn w:val="DefaultParagraphFont"/>
    <w:link w:val="Heading7"/>
    <w:uiPriority w:val="9"/>
    <w:semiHidden/>
    <w:qFormat/>
    <w:rsid w:val="000e1f43"/>
    <w:rPr>
      <w:rFonts w:eastAsia="" w:cs="" w:cstheme="majorBidi" w:eastAsiaTheme="majorEastAsia"/>
      <w:color w:val="595959" w:themeColor="text1" w:themeTint="a6"/>
    </w:rPr>
  </w:style>
  <w:style w:type="character" w:styleId="Titolo8Carattere" w:customStyle="1">
    <w:name w:val="Titolo 8 Carattere"/>
    <w:basedOn w:val="DefaultParagraphFont"/>
    <w:link w:val="Heading8"/>
    <w:uiPriority w:val="9"/>
    <w:semiHidden/>
    <w:qFormat/>
    <w:rsid w:val="000e1f43"/>
    <w:rPr>
      <w:rFonts w:eastAsia="" w:cs="" w:cstheme="majorBidi" w:eastAsiaTheme="majorEastAsia"/>
      <w:i/>
      <w:iCs/>
      <w:color w:val="272727" w:themeColor="text1" w:themeTint="d8"/>
    </w:rPr>
  </w:style>
  <w:style w:type="character" w:styleId="Titolo9Carattere" w:customStyle="1">
    <w:name w:val="Titolo 9 Carattere"/>
    <w:basedOn w:val="DefaultParagraphFont"/>
    <w:link w:val="Heading9"/>
    <w:uiPriority w:val="9"/>
    <w:semiHidden/>
    <w:qFormat/>
    <w:rsid w:val="000e1f43"/>
    <w:rPr>
      <w:rFonts w:eastAsia="" w:cs="" w:cstheme="majorBidi" w:eastAsiaTheme="majorEastAsia"/>
      <w:color w:val="272727" w:themeColor="text1" w:themeTint="d8"/>
    </w:rPr>
  </w:style>
  <w:style w:type="character" w:styleId="TitoloCarattere" w:customStyle="1">
    <w:name w:val="Titolo Carattere"/>
    <w:basedOn w:val="DefaultParagraphFont"/>
    <w:link w:val="Title"/>
    <w:uiPriority w:val="10"/>
    <w:qFormat/>
    <w:rsid w:val="000e1f43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link w:val="Subtitle"/>
    <w:uiPriority w:val="11"/>
    <w:qFormat/>
    <w:rsid w:val="000e1f43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0e1f4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e1f43"/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0e1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f43"/>
    <w:rPr>
      <w:b/>
      <w:bCs/>
      <w:smallCaps/>
      <w:color w:val="0F4761" w:themeColor="accent1" w:themeShade="bf"/>
      <w:spacing w:val="5"/>
    </w:rPr>
  </w:style>
  <w:style w:type="character" w:styleId="IntestazioneCarattere" w:customStyle="1">
    <w:name w:val="Intestazione Carattere"/>
    <w:basedOn w:val="DefaultParagraphFont"/>
    <w:link w:val="Header"/>
    <w:uiPriority w:val="99"/>
    <w:qFormat/>
    <w:rsid w:val="005773a9"/>
    <w:rPr/>
  </w:style>
  <w:style w:type="character" w:styleId="PidipaginaCarattere" w:customStyle="1">
    <w:name w:val="Piè di pagina Carattere"/>
    <w:basedOn w:val="DefaultParagraphFont"/>
    <w:link w:val="Footer"/>
    <w:uiPriority w:val="99"/>
    <w:qFormat/>
    <w:rsid w:val="005773a9"/>
    <w:rPr/>
  </w:style>
  <w:style w:type="character" w:styleId="TestonotaapidipaginaCarattere" w:customStyle="1">
    <w:name w:val="Testo nota a piè di pagina Carattere"/>
    <w:basedOn w:val="DefaultParagraphFont"/>
    <w:link w:val="Footnote"/>
    <w:uiPriority w:val="99"/>
    <w:semiHidden/>
    <w:qFormat/>
    <w:rsid w:val="00fb11c2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b11c2"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SoggettocommentoCarattere">
    <w:name w:val="Soggetto commento Carattere"/>
    <w:qFormat/>
    <w:rPr>
      <w:rFonts w:ascii="Times New Roman" w:hAnsi="Times New Roman" w:eastAsia="Times New Roman" w:cs="Times New Roman"/>
      <w:b/>
      <w:bCs/>
      <w:color w:val="000000"/>
      <w:sz w:val="20"/>
      <w:szCs w:val="20"/>
    </w:rPr>
  </w:style>
  <w:style w:type="character" w:styleId="TestocommentoCarattere">
    <w:name w:val="Testo commento Carattere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Annotationreference">
    <w:name w:val="annotation reference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le">
    <w:name w:val="Title"/>
    <w:basedOn w:val="Normal"/>
    <w:next w:val="Normal"/>
    <w:link w:val="TitoloCarattere"/>
    <w:uiPriority w:val="10"/>
    <w:qFormat/>
    <w:rsid w:val="000e1f43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ttotitoloCarattere"/>
    <w:uiPriority w:val="11"/>
    <w:qFormat/>
    <w:rsid w:val="000e1f43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0e1f43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f43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0e1f43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5773a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5773a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note">
    <w:name w:val="Footnote Text"/>
    <w:basedOn w:val="Normal"/>
    <w:link w:val="TestonotaapidipaginaCarattere"/>
    <w:uiPriority w:val="99"/>
    <w:semiHidden/>
    <w:unhideWhenUsed/>
    <w:rsid w:val="00fb11c2"/>
    <w:pPr>
      <w:spacing w:lineRule="auto" w:line="240" w:before="0" w:after="0"/>
    </w:pPr>
    <w:rPr>
      <w:sz w:val="20"/>
      <w:szCs w:val="20"/>
    </w:rPr>
  </w:style>
  <w:style w:type="paragraph" w:styleId="NoSpacing">
    <w:name w:val="No Spacing"/>
    <w:uiPriority w:val="1"/>
    <w:qFormat/>
    <w:rsid w:val="00761d89"/>
    <w:pPr>
      <w:widowControl/>
      <w:bidi w:val="0"/>
      <w:spacing w:lineRule="auto" w:line="240" w:before="0" w:after="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paragraph" w:styleId="Revision">
    <w:name w:val="Revision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Lucida Sans"/>
      <w:color w:val="auto"/>
      <w:kern w:val="2"/>
      <w:sz w:val="24"/>
      <w:szCs w:val="24"/>
      <w:lang w:val="it-IT" w:eastAsia="zh-CN" w:bidi="hi-IN"/>
    </w:rPr>
  </w:style>
  <w:style w:type="paragraph" w:styleId="Annotationsubject">
    <w:name w:val="annotation subject"/>
    <w:qFormat/>
    <w:pPr>
      <w:widowControl/>
      <w:bidi w:val="0"/>
      <w:spacing w:lineRule="exact" w:line="240" w:before="0" w:after="160"/>
      <w:jc w:val="left"/>
    </w:pPr>
    <w:rPr>
      <w:rFonts w:ascii="Aptos" w:hAnsi="Aptos" w:eastAsia="Aptos" w:cs="" w:asciiTheme="minorHAnsi" w:cstheme="minorBidi" w:eastAsiaTheme="minorHAnsi" w:hAnsiTheme="minorHAnsi"/>
      <w:b/>
      <w:bCs/>
      <w:color w:val="auto"/>
      <w:kern w:val="2"/>
      <w:sz w:val="20"/>
      <w:szCs w:val="20"/>
      <w:lang w:val="it-IT" w:eastAsia="en-US" w:bidi="ar-SA"/>
      <w14:ligatures w14:val="standardContextual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5773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D8AE0-421D-430E-8356-8324C0E7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LibreOffice/7.4.2.3$Windows_X86_64 LibreOffice_project/382eef1f22670f7f4118c8c2dd222ec7ad009daf</Application>
  <AppVersion>15.0000</AppVersion>
  <Pages>1</Pages>
  <Words>520</Words>
  <Characters>3196</Characters>
  <CharactersWithSpaces>3710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Ciapetti</dc:creator>
  <dc:description/>
  <dc:language>it-IT</dc:language>
  <cp:lastModifiedBy/>
  <dcterms:modified xsi:type="dcterms:W3CDTF">2025-05-15T12:34:47Z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